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690B" w14:textId="77777777" w:rsidR="00225CC5" w:rsidRDefault="00225CC5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14:paraId="672A6659" w14:textId="77777777" w:rsidR="00225CC5" w:rsidRDefault="002F2BF0" w:rsidP="002F2BF0">
      <w:pPr>
        <w:keepLines/>
        <w:suppressAutoHyphens/>
        <w:jc w:val="center"/>
        <w:rPr>
          <w:color w:val="000000"/>
        </w:rPr>
      </w:pPr>
      <w:r>
        <w:rPr>
          <w:noProof/>
          <w:lang w:eastAsia="lt-LT"/>
        </w:rPr>
        <w:drawing>
          <wp:inline distT="0" distB="0" distL="0" distR="0" wp14:anchorId="2C490569" wp14:editId="07777777">
            <wp:extent cx="546100" cy="552450"/>
            <wp:effectExtent l="0" t="0" r="635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86352" w14:textId="77777777" w:rsidR="00225CC5" w:rsidRDefault="002F2BF0" w:rsidP="002F2BF0">
      <w:pPr>
        <w:keepLines/>
        <w:suppressAutoHyphens/>
        <w:jc w:val="center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LIETUVOS RESPUBLIKOS ŠVIETIMO, MOKSLO IR SPORTO MINISTRAS</w:t>
      </w:r>
    </w:p>
    <w:p w14:paraId="0A37501D" w14:textId="77777777" w:rsidR="00225CC5" w:rsidRDefault="00225CC5" w:rsidP="002F2BF0">
      <w:pPr>
        <w:keepLines/>
        <w:suppressAutoHyphens/>
        <w:jc w:val="center"/>
        <w:textAlignment w:val="center"/>
        <w:rPr>
          <w:b/>
          <w:color w:val="000000"/>
          <w:sz w:val="28"/>
          <w:szCs w:val="28"/>
        </w:rPr>
      </w:pPr>
    </w:p>
    <w:p w14:paraId="7120695F" w14:textId="12FCBEE0" w:rsidR="00225CC5" w:rsidRDefault="002F2BF0" w:rsidP="002F2BF0">
      <w:pPr>
        <w:keepLines/>
        <w:suppressAutoHyphens/>
        <w:jc w:val="center"/>
        <w:textAlignment w:val="center"/>
        <w:rPr>
          <w:color w:val="000000"/>
        </w:rPr>
      </w:pPr>
      <w:r>
        <w:rPr>
          <w:rFonts w:eastAsia="Calibri"/>
          <w:b/>
          <w:bCs/>
        </w:rPr>
        <w:t>ĮSAKYMAS</w:t>
      </w:r>
    </w:p>
    <w:p w14:paraId="56A001C5" w14:textId="77777777" w:rsidR="00225CC5" w:rsidRDefault="002F2BF0" w:rsidP="002F2BF0">
      <w:pPr>
        <w:keepLines/>
        <w:suppressAutoHyphens/>
        <w:jc w:val="center"/>
        <w:textAlignment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VALSTYBĖS (STRATEGINIŲ) ŠVIETIMO STEBĖSENOS RODIKLIŲ PATVIRTINIMO</w:t>
      </w:r>
    </w:p>
    <w:p w14:paraId="5DAB6C7B" w14:textId="77777777" w:rsidR="00225CC5" w:rsidRDefault="00225CC5" w:rsidP="002F2BF0">
      <w:pPr>
        <w:keepLines/>
        <w:suppressAutoHyphens/>
        <w:jc w:val="center"/>
        <w:textAlignment w:val="center"/>
        <w:rPr>
          <w:color w:val="000000"/>
          <w:sz w:val="22"/>
          <w:szCs w:val="22"/>
        </w:rPr>
      </w:pPr>
    </w:p>
    <w:p w14:paraId="7035462C" w14:textId="09B99D53" w:rsidR="00225CC5" w:rsidRDefault="002F2BF0" w:rsidP="002F2BF0">
      <w:pPr>
        <w:keepLines/>
        <w:suppressAutoHyphens/>
        <w:jc w:val="center"/>
        <w:textAlignment w:val="center"/>
        <w:rPr>
          <w:color w:val="000000"/>
        </w:rPr>
      </w:pPr>
      <w:r>
        <w:rPr>
          <w:color w:val="000000"/>
        </w:rPr>
        <w:t>2022 m. vasario 17</w:t>
      </w:r>
      <w:r>
        <w:rPr>
          <w:color w:val="000000"/>
        </w:rPr>
        <w:t xml:space="preserve"> d. Nr. </w:t>
      </w:r>
      <w:r w:rsidRPr="002F2BF0">
        <w:rPr>
          <w:color w:val="000000"/>
        </w:rPr>
        <w:t>V-283</w:t>
      </w:r>
    </w:p>
    <w:p w14:paraId="3485A90D" w14:textId="77777777" w:rsidR="00225CC5" w:rsidRDefault="002F2BF0" w:rsidP="002F2BF0">
      <w:pPr>
        <w:keepLines/>
        <w:suppressAutoHyphens/>
        <w:jc w:val="center"/>
        <w:textAlignment w:val="center"/>
        <w:rPr>
          <w:color w:val="000000"/>
        </w:rPr>
      </w:pPr>
      <w:r>
        <w:rPr>
          <w:color w:val="000000"/>
        </w:rPr>
        <w:t>Vilnius</w:t>
      </w:r>
    </w:p>
    <w:p w14:paraId="02EB378F" w14:textId="77777777" w:rsidR="00225CC5" w:rsidRDefault="00225CC5" w:rsidP="002F2BF0">
      <w:pPr>
        <w:suppressAutoHyphens/>
        <w:jc w:val="center"/>
        <w:textAlignment w:val="center"/>
        <w:rPr>
          <w:color w:val="000000"/>
          <w:sz w:val="22"/>
          <w:szCs w:val="22"/>
        </w:rPr>
      </w:pPr>
    </w:p>
    <w:p w14:paraId="6A05A809" w14:textId="77777777" w:rsidR="00225CC5" w:rsidRDefault="00225CC5" w:rsidP="002F2BF0">
      <w:pPr>
        <w:suppressAutoHyphens/>
        <w:jc w:val="center"/>
        <w:textAlignment w:val="center"/>
        <w:rPr>
          <w:color w:val="000000"/>
          <w:sz w:val="22"/>
          <w:szCs w:val="22"/>
        </w:rPr>
      </w:pPr>
    </w:p>
    <w:p w14:paraId="6D1F430A" w14:textId="77777777" w:rsidR="00225CC5" w:rsidRDefault="002F2BF0">
      <w:pPr>
        <w:suppressAutoHyphens/>
        <w:spacing w:line="283" w:lineRule="auto"/>
        <w:ind w:firstLine="993"/>
        <w:jc w:val="both"/>
        <w:textAlignment w:val="center"/>
        <w:rPr>
          <w:color w:val="000000"/>
        </w:rPr>
      </w:pPr>
      <w:r>
        <w:rPr>
          <w:color w:val="000000"/>
        </w:rPr>
        <w:t>Vadovaudamasi Lietuvos Respublikos švietimo įstatymo 53 straipsnio 2 dalimi:</w:t>
      </w:r>
    </w:p>
    <w:p w14:paraId="48CDFA54" w14:textId="77777777" w:rsidR="00225CC5" w:rsidRDefault="002F2BF0">
      <w:pPr>
        <w:suppressAutoHyphens/>
        <w:spacing w:line="283" w:lineRule="auto"/>
        <w:ind w:firstLine="993"/>
        <w:jc w:val="both"/>
        <w:textAlignment w:val="center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 v i r t i n u  Valstybės (strateginius) švietimo stebėsenos rodiklius (pridedama).</w:t>
      </w:r>
    </w:p>
    <w:p w14:paraId="60307B46" w14:textId="0ABBB4B9" w:rsidR="00225CC5" w:rsidRDefault="002F2BF0">
      <w:pPr>
        <w:suppressAutoHyphens/>
        <w:spacing w:line="283" w:lineRule="auto"/>
        <w:ind w:firstLine="993"/>
        <w:jc w:val="both"/>
        <w:textAlignment w:val="center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 a v e d u  Nacionalinės švietimo agentūros direktoriui, suderinus su Švietimo ir mokslo stebėsenos koordinavimo grupe, patvirtinta Lietuvos Respublikos švietim</w:t>
      </w:r>
      <w:r>
        <w:rPr>
          <w:color w:val="000000"/>
        </w:rPr>
        <w:t>o, mokslo ir sporto ministro 2021 m. liepos 12 d. įsakymu Nr. V-1264 „Dėl Švietimo ir mokslo stebėsenos koordinavimo grupės sudėties patvirtinimo“, tvirtinti Valstybės (strateginių) švietimo stebėsenos rodiklių aprašus.</w:t>
      </w:r>
    </w:p>
    <w:p w14:paraId="0210A17F" w14:textId="77777777" w:rsidR="00225CC5" w:rsidRDefault="002F2BF0">
      <w:pPr>
        <w:suppressAutoHyphens/>
        <w:spacing w:line="283" w:lineRule="auto"/>
        <w:ind w:firstLine="993"/>
        <w:jc w:val="both"/>
        <w:textAlignment w:val="center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 r i p a ž į s t u  netekusi</w:t>
      </w:r>
      <w:r>
        <w:rPr>
          <w:color w:val="000000"/>
        </w:rPr>
        <w:t>u galios Lietuvos Respublikos švietimo, mokslo ir sporto ministro 2019 m. gegužės 22 d. įsakymą Nr. V-620 „Dėl Valstybės (strateginių) švietimo stebėsenos rodiklių patvirtinimo“.</w:t>
      </w:r>
    </w:p>
    <w:p w14:paraId="5A39BBE3" w14:textId="77777777" w:rsidR="00225CC5" w:rsidRDefault="00225CC5">
      <w:pPr>
        <w:tabs>
          <w:tab w:val="left" w:pos="7406"/>
          <w:tab w:val="right" w:pos="9808"/>
        </w:tabs>
        <w:suppressAutoHyphens/>
        <w:spacing w:line="283" w:lineRule="auto"/>
        <w:textAlignment w:val="center"/>
      </w:pPr>
    </w:p>
    <w:p w14:paraId="41C8F396" w14:textId="77777777" w:rsidR="00225CC5" w:rsidRDefault="00225CC5">
      <w:pPr>
        <w:tabs>
          <w:tab w:val="left" w:pos="7406"/>
          <w:tab w:val="right" w:pos="9808"/>
        </w:tabs>
        <w:suppressAutoHyphens/>
        <w:spacing w:line="283" w:lineRule="auto"/>
        <w:textAlignment w:val="center"/>
      </w:pPr>
    </w:p>
    <w:p w14:paraId="72A3D3EC" w14:textId="77777777" w:rsidR="00225CC5" w:rsidRDefault="002F2BF0">
      <w:pPr>
        <w:tabs>
          <w:tab w:val="left" w:pos="7406"/>
          <w:tab w:val="right" w:pos="9808"/>
        </w:tabs>
        <w:suppressAutoHyphens/>
        <w:spacing w:line="283" w:lineRule="auto"/>
        <w:textAlignment w:val="center"/>
      </w:pPr>
    </w:p>
    <w:p w14:paraId="14614B03" w14:textId="14799885" w:rsidR="00225CC5" w:rsidRDefault="002F2BF0" w:rsidP="002F2BF0">
      <w:pPr>
        <w:tabs>
          <w:tab w:val="left" w:pos="7088"/>
        </w:tabs>
        <w:suppressAutoHyphens/>
        <w:spacing w:line="283" w:lineRule="auto"/>
        <w:textAlignment w:val="center"/>
        <w:rPr>
          <w:color w:val="000000"/>
          <w:sz w:val="22"/>
          <w:szCs w:val="22"/>
        </w:rPr>
      </w:pPr>
      <w:r>
        <w:rPr>
          <w:rFonts w:eastAsia="Calibri"/>
        </w:rPr>
        <w:t>Švietimo, mokslo ir sporto ministrė</w:t>
      </w:r>
      <w:r>
        <w:rPr>
          <w:rFonts w:eastAsia="Calibri"/>
        </w:rPr>
        <w:tab/>
      </w:r>
      <w:r>
        <w:rPr>
          <w:rFonts w:eastAsia="Calibri"/>
        </w:rPr>
        <w:t>Jurgita Šiugždinienė</w:t>
      </w:r>
    </w:p>
    <w:p w14:paraId="70CE796D" w14:textId="77777777" w:rsidR="00225CC5" w:rsidRDefault="002F2BF0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14:paraId="1FFF8C9D" w14:textId="77777777" w:rsidR="002F2BF0" w:rsidRDefault="002F2BF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3" w:lineRule="auto"/>
        <w:ind w:left="5953" w:hanging="283"/>
        <w:textAlignment w:val="center"/>
        <w:sectPr w:rsidR="002F2B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560" w:left="1701" w:header="709" w:footer="709" w:gutter="0"/>
          <w:pgNumType w:start="1"/>
          <w:cols w:space="708"/>
          <w:titlePg/>
          <w:docGrid w:linePitch="326"/>
        </w:sectPr>
      </w:pPr>
    </w:p>
    <w:p w14:paraId="4AB4BFB0" w14:textId="1458714E" w:rsidR="00225CC5" w:rsidRDefault="002F2BF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3" w:lineRule="auto"/>
        <w:ind w:left="5953" w:hanging="283"/>
        <w:textAlignment w:val="center"/>
        <w:rPr>
          <w:color w:val="000000"/>
        </w:rPr>
      </w:pPr>
      <w:r>
        <w:rPr>
          <w:color w:val="000000"/>
        </w:rPr>
        <w:t>PATVIRTINTA</w:t>
      </w:r>
    </w:p>
    <w:p w14:paraId="327D9E0A" w14:textId="77777777" w:rsidR="00225CC5" w:rsidRDefault="002F2BF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3" w:lineRule="auto"/>
        <w:ind w:left="5953" w:hanging="283"/>
        <w:textAlignment w:val="center"/>
        <w:rPr>
          <w:color w:val="000000"/>
        </w:rPr>
      </w:pPr>
      <w:r>
        <w:rPr>
          <w:color w:val="000000"/>
        </w:rPr>
        <w:t xml:space="preserve">Lietuvos Respublikos </w:t>
      </w:r>
    </w:p>
    <w:p w14:paraId="1D655926" w14:textId="77777777" w:rsidR="00225CC5" w:rsidRDefault="002F2BF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3" w:lineRule="auto"/>
        <w:ind w:left="5953" w:hanging="283"/>
        <w:textAlignment w:val="center"/>
        <w:rPr>
          <w:color w:val="000000"/>
        </w:rPr>
      </w:pPr>
      <w:r>
        <w:rPr>
          <w:color w:val="000000"/>
        </w:rPr>
        <w:t>švietimo, mokslo ir sporto ministro</w:t>
      </w:r>
    </w:p>
    <w:p w14:paraId="26AD7AF2" w14:textId="0CF97026" w:rsidR="00225CC5" w:rsidRDefault="002F2BF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3" w:lineRule="auto"/>
        <w:ind w:left="5953" w:hanging="283"/>
        <w:textAlignment w:val="center"/>
        <w:rPr>
          <w:color w:val="000000"/>
        </w:rPr>
      </w:pPr>
      <w:r>
        <w:rPr>
          <w:color w:val="000000"/>
        </w:rPr>
        <w:t xml:space="preserve">2022 m. vasario 17 d. </w:t>
      </w:r>
      <w:r>
        <w:rPr>
          <w:color w:val="000000"/>
        </w:rPr>
        <w:t xml:space="preserve">įsakymu </w:t>
      </w:r>
    </w:p>
    <w:p w14:paraId="6C6C087B" w14:textId="52272808" w:rsidR="00225CC5" w:rsidRDefault="002F2BF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3" w:lineRule="auto"/>
        <w:ind w:left="5953" w:hanging="283"/>
        <w:textAlignment w:val="center"/>
        <w:rPr>
          <w:color w:val="000000"/>
        </w:rPr>
      </w:pPr>
      <w:r>
        <w:rPr>
          <w:color w:val="000000"/>
        </w:rPr>
        <w:t>Nr. </w:t>
      </w:r>
      <w:r w:rsidRPr="002F2BF0">
        <w:rPr>
          <w:color w:val="000000"/>
        </w:rPr>
        <w:t>V-283</w:t>
      </w:r>
    </w:p>
    <w:p w14:paraId="0E27B00A" w14:textId="77777777" w:rsidR="00225CC5" w:rsidRDefault="00225CC5">
      <w:pPr>
        <w:suppressAutoHyphens/>
        <w:ind w:firstLine="567"/>
        <w:jc w:val="both"/>
        <w:rPr>
          <w:color w:val="000000"/>
        </w:rPr>
      </w:pPr>
    </w:p>
    <w:p w14:paraId="7F386928" w14:textId="77777777" w:rsidR="00225CC5" w:rsidRDefault="002F2BF0">
      <w:pPr>
        <w:keepLines/>
        <w:suppressAutoHyphens/>
        <w:spacing w:line="283" w:lineRule="auto"/>
        <w:jc w:val="center"/>
        <w:textAlignment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valstybės (strateginiai) švietimo stebėsenos rodikliai</w:t>
      </w:r>
    </w:p>
    <w:p w14:paraId="60061E4C" w14:textId="77777777" w:rsidR="00225CC5" w:rsidRDefault="00225CC5">
      <w:pPr>
        <w:suppressAutoHyphens/>
        <w:spacing w:line="283" w:lineRule="auto"/>
        <w:ind w:firstLine="312"/>
        <w:jc w:val="both"/>
        <w:textAlignment w:val="center"/>
        <w:rPr>
          <w:color w:val="000000"/>
          <w:szCs w:val="24"/>
        </w:rPr>
      </w:pPr>
    </w:p>
    <w:p w14:paraId="62C2C5C9" w14:textId="4EF06873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Valstybės (strateginiai) švietimo stebėsenos rodikliai suskirstyti grupėmis pagal tai, kurį švietimo sistemos komponentą apibūdina: švietimo kontekstą, indėlį į </w:t>
      </w:r>
      <w:r>
        <w:rPr>
          <w:color w:val="000000"/>
        </w:rPr>
        <w:t>švietimą, švietimo procesus, švietimo rezultatus ar švietimo sistemos stebėjimą (metarodiklis).</w:t>
      </w:r>
    </w:p>
    <w:p w14:paraId="2020D8B4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Švietimo konteksto rodikliai (parodo išorines sąlygas ir reikmes, darančias poveikį švietimo sistemos procesams):</w:t>
      </w:r>
    </w:p>
    <w:p w14:paraId="3DEAFB18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Švietimo aplinka:</w:t>
      </w:r>
    </w:p>
    <w:p w14:paraId="3A3B8D23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>. gyven</w:t>
      </w:r>
      <w:r>
        <w:rPr>
          <w:color w:val="000000"/>
        </w:rPr>
        <w:t>tojų skaičiaus pokytis;</w:t>
      </w:r>
    </w:p>
    <w:p w14:paraId="561D7200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2.1.2</w:t>
      </w:r>
      <w:r>
        <w:rPr>
          <w:color w:val="000000"/>
        </w:rPr>
        <w:t>. niekur nedirbančių ir nesimokančių darbingo amžiaus asmenų dalis;</w:t>
      </w:r>
    </w:p>
    <w:p w14:paraId="4520EE14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2.1.3</w:t>
      </w:r>
      <w:r>
        <w:rPr>
          <w:color w:val="000000"/>
        </w:rPr>
        <w:t>. gyventojų, kurie gyvena žemiau skurdo ribos, dalis;</w:t>
      </w:r>
    </w:p>
    <w:p w14:paraId="1A3D566E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2.1.4</w:t>
      </w:r>
      <w:r>
        <w:rPr>
          <w:color w:val="000000"/>
        </w:rPr>
        <w:t>. asmenų, įtariamų (kaltinamų) padarius nusikalstamas veikas, skaičius, tenkantis 1</w:t>
      </w:r>
      <w:r>
        <w:rPr>
          <w:color w:val="000000"/>
        </w:rPr>
        <w:t>00 tūkst. gyventojų;</w:t>
      </w:r>
    </w:p>
    <w:p w14:paraId="18193323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2.1.5</w:t>
      </w:r>
      <w:r>
        <w:rPr>
          <w:color w:val="000000"/>
        </w:rPr>
        <w:t>. savižudybių skaičius 100 tūkst. gyventojų;</w:t>
      </w:r>
    </w:p>
    <w:p w14:paraId="1535E45D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2.1.6</w:t>
      </w:r>
      <w:r>
        <w:rPr>
          <w:color w:val="000000"/>
        </w:rPr>
        <w:t>. bendrasis vidaus produktas, tenkantis vienam gyventojui.</w:t>
      </w:r>
    </w:p>
    <w:p w14:paraId="57DD0585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Indėlio į švietimą rodikliai (parodo pastangas ir (arba) išteklius, reikalingus švietimo sistemai </w:t>
      </w:r>
      <w:r>
        <w:rPr>
          <w:color w:val="000000"/>
        </w:rPr>
        <w:t>veikti ir tikslams pasiekti):</w:t>
      </w:r>
    </w:p>
    <w:p w14:paraId="1C4F1576" w14:textId="7C798E21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Besimokančiųjų ar studijuojančiųjų pasiskirstymas pagal lytį;</w:t>
      </w:r>
    </w:p>
    <w:p w14:paraId="690E8A05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Personalo charakteristika:</w:t>
      </w:r>
    </w:p>
    <w:p w14:paraId="7F37FF4D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3.2.1</w:t>
      </w:r>
      <w:r>
        <w:rPr>
          <w:color w:val="000000"/>
        </w:rPr>
        <w:t>. vidutinis pedagoginių darbuotojų amžius;</w:t>
      </w:r>
    </w:p>
    <w:p w14:paraId="60673934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3.2.2</w:t>
      </w:r>
      <w:r>
        <w:rPr>
          <w:color w:val="000000"/>
        </w:rPr>
        <w:t>. pedagoginių darbuotojų pasiskirstymas pagal lytį;</w:t>
      </w:r>
    </w:p>
    <w:p w14:paraId="44111489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3.2.3</w:t>
      </w:r>
      <w:r>
        <w:rPr>
          <w:color w:val="000000"/>
        </w:rPr>
        <w:t>.</w:t>
      </w:r>
      <w:r>
        <w:rPr>
          <w:color w:val="000000"/>
        </w:rPr>
        <w:t xml:space="preserve"> aukštos kvalifikacijos pedagoginių darbuotojų dalis;</w:t>
      </w:r>
    </w:p>
    <w:p w14:paraId="3AF7ED46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3.2.4</w:t>
      </w:r>
      <w:r>
        <w:rPr>
          <w:color w:val="000000"/>
        </w:rPr>
        <w:t>. vidutinis švietimo įstaigų vadovų amžius;</w:t>
      </w:r>
    </w:p>
    <w:p w14:paraId="04DEA9C3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3.2.5</w:t>
      </w:r>
      <w:r>
        <w:rPr>
          <w:color w:val="000000"/>
        </w:rPr>
        <w:t>. švietimo įstaigų vadovų pasiskirstymas pagal lytį;</w:t>
      </w:r>
    </w:p>
    <w:p w14:paraId="572C42ED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Materialieji ir finansiniai ištekliai:</w:t>
      </w:r>
    </w:p>
    <w:p w14:paraId="7AF97E2E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3.3.1</w:t>
      </w:r>
      <w:r>
        <w:rPr>
          <w:color w:val="000000"/>
        </w:rPr>
        <w:t xml:space="preserve">. valstybės ir savivaldybių </w:t>
      </w:r>
      <w:r>
        <w:rPr>
          <w:color w:val="000000"/>
        </w:rPr>
        <w:t>biudžetų išlaidos švietimui kaip BVP dalis;</w:t>
      </w:r>
    </w:p>
    <w:p w14:paraId="115B7533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3.3.2</w:t>
      </w:r>
      <w:r>
        <w:rPr>
          <w:color w:val="000000"/>
        </w:rPr>
        <w:t>. vidutinės vienam besimokančiam ar studijuojančiam asmeniui tekusios lėšos;</w:t>
      </w:r>
    </w:p>
    <w:p w14:paraId="28988BD3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3.3.3</w:t>
      </w:r>
      <w:r>
        <w:rPr>
          <w:color w:val="000000"/>
        </w:rPr>
        <w:t>. fizinių ir juridinių asmenų skiriamų lėšų švietimui dalis;</w:t>
      </w:r>
    </w:p>
    <w:p w14:paraId="5135E1BE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3.3.4</w:t>
      </w:r>
      <w:r>
        <w:rPr>
          <w:rFonts w:eastAsia="Calibri"/>
          <w:color w:val="000000"/>
        </w:rPr>
        <w:t>. švietimo įstaigų, kurių nė vienai pastato dal</w:t>
      </w:r>
      <w:r>
        <w:rPr>
          <w:rFonts w:eastAsia="Calibri"/>
          <w:color w:val="000000"/>
        </w:rPr>
        <w:t>iai nereikia kapitalinio remonto, dalis;</w:t>
      </w:r>
    </w:p>
    <w:p w14:paraId="2238EDCB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3.3.5</w:t>
      </w:r>
      <w:r>
        <w:rPr>
          <w:color w:val="000000"/>
        </w:rPr>
        <w:t>. švietimo įstaigų, fizinę aplinką pritaikiusių asmenims su negalia, dalis;</w:t>
      </w:r>
      <w:r>
        <w:rPr>
          <w:rFonts w:eastAsia="Calibri"/>
          <w:color w:val="000000"/>
        </w:rPr>
        <w:t> </w:t>
      </w:r>
    </w:p>
    <w:p w14:paraId="4A7861A4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3.3.6</w:t>
      </w:r>
      <w:r>
        <w:rPr>
          <w:color w:val="000000"/>
        </w:rPr>
        <w:t>. švietimo įstaigų, turinčių laboratorijas ir / ar technikos kabinetus, dalis.</w:t>
      </w:r>
    </w:p>
    <w:p w14:paraId="2EE23A19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Švietimo procesų rodikliai (pa</w:t>
      </w:r>
      <w:r>
        <w:rPr>
          <w:color w:val="000000"/>
        </w:rPr>
        <w:t>rodo priežastiniais ryšiais susijusių švietimo sistemos pokyčių eigą):</w:t>
      </w:r>
    </w:p>
    <w:p w14:paraId="483D05F7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>. Mokymas, mokymasis ir studijos:</w:t>
      </w:r>
    </w:p>
    <w:p w14:paraId="1B16F2C2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4.1.1</w:t>
      </w:r>
      <w:r>
        <w:rPr>
          <w:color w:val="000000"/>
        </w:rPr>
        <w:t>. pasirinkusiųjų mokytis ar studijuoti gamtos ir technologijos mokslus dalis;</w:t>
      </w:r>
    </w:p>
    <w:p w14:paraId="0D0A8FC7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4.1.2</w:t>
      </w:r>
      <w:r>
        <w:rPr>
          <w:color w:val="000000"/>
        </w:rPr>
        <w:t xml:space="preserve">. besimokančių ar studijuojančių Lietuvoje kitų </w:t>
      </w:r>
      <w:r>
        <w:rPr>
          <w:color w:val="000000"/>
        </w:rPr>
        <w:t>šalių piliečių dalis;</w:t>
      </w:r>
    </w:p>
    <w:p w14:paraId="1E5405C6" w14:textId="7ED1A80A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4.1.</w:t>
      </w:r>
      <w:r>
        <w:rPr>
          <w:color w:val="000000"/>
          <w:lang w:val="en-GB"/>
        </w:rPr>
        <w:t>3</w:t>
      </w:r>
      <w:r>
        <w:rPr>
          <w:color w:val="000000"/>
        </w:rPr>
        <w:t>. besimokančiųjų ar studijuojančiųjų dalis amžiaus grupėje;</w:t>
      </w:r>
    </w:p>
    <w:p w14:paraId="23505FD5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4.1.4</w:t>
      </w:r>
      <w:r>
        <w:rPr>
          <w:color w:val="000000"/>
        </w:rPr>
        <w:t>. besimokančių ar studijuojančių asmenų su negalia dalis;</w:t>
      </w:r>
    </w:p>
    <w:p w14:paraId="459832BC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Ugdymo procesų organizavimas ir valdymas:</w:t>
      </w:r>
    </w:p>
    <w:p w14:paraId="4875190A" w14:textId="696D4934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4.2.1</w:t>
      </w:r>
      <w:r>
        <w:rPr>
          <w:color w:val="000000"/>
        </w:rPr>
        <w:t>. pedagoginių darbuotojų kontaktinių d</w:t>
      </w:r>
      <w:r>
        <w:rPr>
          <w:color w:val="000000"/>
        </w:rPr>
        <w:t>arbo valandų dalis, palyginti su visu pedagoginių darbuotojų darbo laiku;</w:t>
      </w:r>
    </w:p>
    <w:p w14:paraId="1F5D1D4F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4.2.2</w:t>
      </w:r>
      <w:r>
        <w:rPr>
          <w:color w:val="000000"/>
        </w:rPr>
        <w:t>. pedagoginių darbuotojų, dirbančių visu krūviu, dalis;</w:t>
      </w:r>
    </w:p>
    <w:p w14:paraId="5264F662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4.2.3</w:t>
      </w:r>
      <w:r>
        <w:rPr>
          <w:color w:val="000000"/>
        </w:rPr>
        <w:t>. pedagoginių darbuotojų ir kito personalo skaičiaus santykis;</w:t>
      </w:r>
    </w:p>
    <w:p w14:paraId="030AAA91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4.2.4</w:t>
      </w:r>
      <w:r>
        <w:rPr>
          <w:color w:val="000000"/>
        </w:rPr>
        <w:t xml:space="preserve">. vidutinis mokinių skaičius klasės </w:t>
      </w:r>
      <w:r>
        <w:rPr>
          <w:color w:val="000000"/>
        </w:rPr>
        <w:t>komplekte ar grupėje;</w:t>
      </w:r>
    </w:p>
    <w:p w14:paraId="0B73AC39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  <w:lang w:val="en-GB"/>
        </w:rPr>
      </w:pPr>
      <w:r>
        <w:rPr>
          <w:color w:val="000000"/>
          <w:lang w:val="en-GB"/>
        </w:rPr>
        <w:t>4.2.5</w:t>
      </w:r>
      <w:r>
        <w:rPr>
          <w:color w:val="000000"/>
          <w:lang w:val="en-GB"/>
        </w:rPr>
        <w:t xml:space="preserve">. </w:t>
      </w:r>
      <w:r>
        <w:rPr>
          <w:color w:val="000000"/>
          <w:bdr w:val="none" w:sz="0" w:space="0" w:color="auto" w:frame="1"/>
          <w:lang w:eastAsia="lt-LT"/>
        </w:rPr>
        <w:t>švietimo įstaigų, vykdančių ikimokyklinio, priešmokyklinio, bendrojo ugdymo, profesinio mokymo programas, kuriose per paskutinius ketverius metus vykdytas veiklos kokybės išorinis vertinimas, dalis;</w:t>
      </w:r>
    </w:p>
    <w:p w14:paraId="551040ED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4.2.6</w:t>
      </w:r>
      <w:r>
        <w:rPr>
          <w:color w:val="000000"/>
        </w:rPr>
        <w:t>. maksimaliam l</w:t>
      </w:r>
      <w:r>
        <w:rPr>
          <w:color w:val="000000"/>
        </w:rPr>
        <w:t>aikotarpiui akredituotų studijų programų dalis pagal studijų pakopas;</w:t>
      </w:r>
    </w:p>
    <w:p w14:paraId="2AD664DA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4.2.7</w:t>
      </w:r>
      <w:r>
        <w:rPr>
          <w:color w:val="000000"/>
        </w:rPr>
        <w:t>. mokytojų (dėstytojų) ir mokinių (studentų) skaičiaus santykis;</w:t>
      </w:r>
    </w:p>
    <w:p w14:paraId="201C1778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4.2.</w:t>
      </w:r>
      <w:r>
        <w:rPr>
          <w:color w:val="000000"/>
          <w:lang w:val="en-GB"/>
        </w:rPr>
        <w:t>8</w:t>
      </w:r>
      <w:r>
        <w:rPr>
          <w:color w:val="000000"/>
        </w:rPr>
        <w:t>. pedagoginių darbuotojų, kurie dalyvavo tarptautinėse mainų programose per praėjusius 5 metus, dalis.</w:t>
      </w:r>
    </w:p>
    <w:p w14:paraId="0FAF1CE0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Švietimo rezultatų rodikliai (parodo būvį pasibaigus tam tikram švietimo proceso etapui arba švietimo sukurtą produktą):</w:t>
      </w:r>
    </w:p>
    <w:p w14:paraId="27C580A3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>. Švietimo rezultatas:</w:t>
      </w:r>
    </w:p>
    <w:p w14:paraId="7355FE67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  <w:spacing w:val="-2"/>
        </w:rPr>
        <w:t>5.1.1</w:t>
      </w:r>
      <w:r>
        <w:rPr>
          <w:color w:val="000000"/>
          <w:spacing w:val="-2"/>
        </w:rPr>
        <w:t xml:space="preserve">. </w:t>
      </w:r>
      <w:r>
        <w:rPr>
          <w:color w:val="000000"/>
        </w:rPr>
        <w:t xml:space="preserve">mokinių, Ekonominio bendradarbiavimo ir plėtros organizacijos (toliau – EBPO) tarptautiniame penkiolikmečių tyrime (toliau – PISA) pasiekusių ne žemesnį </w:t>
      </w:r>
      <w:r>
        <w:rPr>
          <w:color w:val="000000"/>
          <w:spacing w:val="-2"/>
        </w:rPr>
        <w:t>kaip 3 skaitymo gebėjimų lygį, dalis;</w:t>
      </w:r>
    </w:p>
    <w:p w14:paraId="24491296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5.1.2</w:t>
      </w:r>
      <w:r>
        <w:rPr>
          <w:color w:val="000000"/>
        </w:rPr>
        <w:t xml:space="preserve">. mokinių, EBPO PISA tyrime pasiekusių ne žemesnį kaip </w:t>
      </w:r>
      <w:r>
        <w:rPr>
          <w:color w:val="000000"/>
        </w:rPr>
        <w:t>3 matematinio raštingumo lygį, dalis;</w:t>
      </w:r>
    </w:p>
    <w:p w14:paraId="70429118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5.1.3</w:t>
      </w:r>
      <w:r>
        <w:rPr>
          <w:color w:val="000000"/>
        </w:rPr>
        <w:t>. mokinių, EBPO PISA tyrime pasiekusių ne žemesnį kaip 3 gamtamokslio raštingumo lygį, dalis;</w:t>
      </w:r>
    </w:p>
    <w:p w14:paraId="6A6E8C3B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5.1.4</w:t>
      </w:r>
      <w:r>
        <w:rPr>
          <w:color w:val="000000"/>
        </w:rPr>
        <w:t>. 4 klasės mokinių Tarptautinės švietimo pasiekimų asociacijos (toliau – IEA) tarptautinio skaitymo gebėji</w:t>
      </w:r>
      <w:r>
        <w:rPr>
          <w:color w:val="000000"/>
        </w:rPr>
        <w:t>mų tyrimo (angl. PIRLS) rezultatų procentinis pasiskirstymas pagal tarptautinius skaitymo gebėjimų pasiekimų lygmenis;</w:t>
      </w:r>
    </w:p>
    <w:p w14:paraId="0D3D2192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5.1.5</w:t>
      </w:r>
      <w:r>
        <w:rPr>
          <w:color w:val="000000"/>
        </w:rPr>
        <w:t>. 4 klasės mokinių IEA tarptautinio matematikos ir gamtos mokslų gebėjimų tyrimo (angl. TIMSS) rezultatų procentinis pasiskirsty</w:t>
      </w:r>
      <w:r>
        <w:rPr>
          <w:color w:val="000000"/>
        </w:rPr>
        <w:t>mas pagal tarptautinius matematikos ir gamtos mokslų pasiekimų lygmenis;</w:t>
      </w:r>
    </w:p>
    <w:p w14:paraId="689DE588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5.1.6</w:t>
      </w:r>
      <w:r>
        <w:rPr>
          <w:color w:val="000000"/>
        </w:rPr>
        <w:t xml:space="preserve">. 8 klasės mokinių IEA tarptautinio matematikos ir gamtos mokslų gebėjimų tyrimo (angl. TIMSS) rezultatų procentinis pasiskirstymas pagal tarptautinius matematikos ir gamtos </w:t>
      </w:r>
      <w:r>
        <w:rPr>
          <w:color w:val="000000"/>
        </w:rPr>
        <w:t>mokslų pasiekimų lygmenis;</w:t>
      </w:r>
    </w:p>
    <w:p w14:paraId="0F7D3880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5.1.7</w:t>
      </w:r>
      <w:r>
        <w:rPr>
          <w:color w:val="000000"/>
        </w:rPr>
        <w:t>. 8 klasės mokinių IEA tarptautinio pilietinio ugdymo ir pilietiškumo tyrimo (angl. ICCS) rezultatų procentinis pasiskirstymas pagal tarptautinio pilietinio ugdymo ir pilietiškumo pasiekimų lygmenis;</w:t>
      </w:r>
    </w:p>
    <w:p w14:paraId="0F5203EB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5.1.8</w:t>
      </w:r>
      <w:r>
        <w:rPr>
          <w:color w:val="000000"/>
        </w:rPr>
        <w:t xml:space="preserve">. </w:t>
      </w:r>
      <w:r>
        <w:t>gyventojų</w:t>
      </w:r>
      <w:r>
        <w:t xml:space="preserve"> bazinio kompiuterinio raštingumo lygis</w:t>
      </w:r>
      <w:r>
        <w:rPr>
          <w:color w:val="000000"/>
        </w:rPr>
        <w:t>;</w:t>
      </w:r>
    </w:p>
    <w:p w14:paraId="7B25CA9D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5.1.</w:t>
      </w:r>
      <w:r>
        <w:rPr>
          <w:color w:val="000000"/>
          <w:lang w:val="en-GB"/>
        </w:rPr>
        <w:t>9</w:t>
      </w:r>
      <w:r>
        <w:rPr>
          <w:color w:val="000000"/>
        </w:rPr>
        <w:t>. asmenų, nutraukusių mokymąsi / studijas, dalis;</w:t>
      </w:r>
    </w:p>
    <w:p w14:paraId="44428725" w14:textId="741FFED3" w:rsidR="00225CC5" w:rsidRDefault="002F2BF0" w:rsidP="002F2BF0">
      <w:pPr>
        <w:suppressAutoHyphens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5.1.10</w:t>
      </w:r>
      <w:r>
        <w:rPr>
          <w:color w:val="000000"/>
        </w:rPr>
        <w:t xml:space="preserve">. </w:t>
      </w:r>
      <w:r>
        <w:rPr>
          <w:lang w:eastAsia="lt-LT"/>
        </w:rPr>
        <w:t>užsienio piliečių, baigusių studijas Lietuvos aukštosiose mokyklose, dalis;</w:t>
      </w:r>
      <w:r>
        <w:rPr>
          <w:color w:val="000000"/>
        </w:rPr>
        <w:t xml:space="preserve"> </w:t>
      </w:r>
    </w:p>
    <w:p w14:paraId="47B0AD38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>. Švietimo pasekmės:</w:t>
      </w:r>
    </w:p>
    <w:p w14:paraId="36C6B916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5.2.1</w:t>
      </w:r>
      <w:r>
        <w:rPr>
          <w:color w:val="000000"/>
        </w:rPr>
        <w:t>. visuomenės išsilavinimo lygi</w:t>
      </w:r>
      <w:r>
        <w:rPr>
          <w:color w:val="000000"/>
        </w:rPr>
        <w:t>s pagal amžiaus grupes;</w:t>
      </w:r>
    </w:p>
    <w:p w14:paraId="078BA709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5.2.2</w:t>
      </w:r>
      <w:r>
        <w:rPr>
          <w:color w:val="000000"/>
        </w:rPr>
        <w:t>. asmenų, registruotų Užimtumo tarnyboje po metų nuo švietimo programos baigimo, dalis pagal išsilavinimo lygį;</w:t>
      </w:r>
    </w:p>
    <w:p w14:paraId="2FF8B87A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5.2.3</w:t>
      </w:r>
      <w:r>
        <w:rPr>
          <w:color w:val="000000"/>
        </w:rPr>
        <w:t>. baigusiųjų ir tais pačiais metais tęsiančių mokymąsi ar studijas kitame švietimo lygmenyje arba dirb</w:t>
      </w:r>
      <w:r>
        <w:rPr>
          <w:color w:val="000000"/>
        </w:rPr>
        <w:t>ančių asmenų dalis.</w:t>
      </w:r>
    </w:p>
    <w:p w14:paraId="79213918" w14:textId="77777777" w:rsidR="00225CC5" w:rsidRDefault="002F2BF0" w:rsidP="002F2BF0">
      <w:pPr>
        <w:suppressAutoHyphens/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Valstybės (strateginių) švietimo stebėsenos rodiklių sąrašas atnaujinamas ne dažniau kaip kartą per metus.</w:t>
      </w:r>
    </w:p>
    <w:p w14:paraId="4B94D5A5" w14:textId="069D8012" w:rsidR="00225CC5" w:rsidRDefault="002F2BF0" w:rsidP="002F2BF0">
      <w:pPr>
        <w:spacing w:line="276" w:lineRule="auto"/>
        <w:jc w:val="center"/>
      </w:pPr>
      <w:r>
        <w:rPr>
          <w:sz w:val="22"/>
          <w:szCs w:val="22"/>
          <w:lang w:val="en-US"/>
        </w:rPr>
        <w:t>__________</w:t>
      </w:r>
      <w:bookmarkStart w:id="0" w:name="_GoBack"/>
      <w:bookmarkEnd w:id="0"/>
      <w:r>
        <w:rPr>
          <w:sz w:val="22"/>
          <w:szCs w:val="22"/>
          <w:lang w:val="en-US"/>
        </w:rPr>
        <w:t>________</w:t>
      </w:r>
    </w:p>
    <w:sectPr w:rsidR="00225CC5">
      <w:pgSz w:w="11907" w:h="16840" w:code="9"/>
      <w:pgMar w:top="1134" w:right="1134" w:bottom="1560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225CC5" w:rsidRDefault="002F2BF0">
      <w:r>
        <w:separator/>
      </w:r>
    </w:p>
  </w:endnote>
  <w:endnote w:type="continuationSeparator" w:id="0">
    <w:p w14:paraId="1299C43A" w14:textId="77777777" w:rsidR="00225CC5" w:rsidRDefault="002F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225CC5" w:rsidRDefault="00225CC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225CC5" w:rsidRDefault="00225CC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225CC5" w:rsidRDefault="00225CC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225CC5" w:rsidRDefault="002F2BF0">
      <w:r>
        <w:separator/>
      </w:r>
    </w:p>
  </w:footnote>
  <w:footnote w:type="continuationSeparator" w:id="0">
    <w:p w14:paraId="3656B9AB" w14:textId="77777777" w:rsidR="00225CC5" w:rsidRDefault="002F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225CC5" w:rsidRDefault="00225CC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6B08" w14:textId="0A82CE29" w:rsidR="00225CC5" w:rsidRDefault="002F2BF0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3</w:t>
    </w:r>
    <w:r>
      <w:rPr>
        <w:sz w:val="22"/>
        <w:szCs w:val="22"/>
        <w:lang w:eastAsia="lt-LT"/>
      </w:rPr>
      <w:fldChar w:fldCharType="end"/>
    </w:r>
  </w:p>
  <w:p w14:paraId="049F31CB" w14:textId="77777777" w:rsidR="00225CC5" w:rsidRDefault="00225CC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225CC5" w:rsidRDefault="00225CC5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FD"/>
    <w:rsid w:val="00225CC5"/>
    <w:rsid w:val="002F2BF0"/>
    <w:rsid w:val="00C7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31E9"/>
  <w15:docId w15:val="{09E84456-E8F1-4EF2-9FFE-08127E61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image" Target="media/image1.png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092F-3FEA-47EB-A642-F198E3ADC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DCBD2-C04C-4A3D-85C6-D36791EB9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6D281-5423-48B4-A59E-7A9FA71FE3B9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031B139-F752-4CA6-A4DC-75DCFB08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4168</Words>
  <Characters>2377</Characters>
  <Application>Microsoft Office Word</Application>
  <DocSecurity>0</DocSecurity>
  <Lines>19</Lines>
  <Paragraphs>13</Paragraphs>
  <ScaleCrop>false</ScaleCrop>
  <Company>HP</Company>
  <LinksUpToDate>false</LinksUpToDate>
  <CharactersWithSpaces>6532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2022-02-17T14:37:00Z</dcterms:created>
  <dc:creator>Cibulskaitė Ugnė</dc:creator>
  <lastModifiedBy>JUOSPONIENĖ Karolina</lastModifiedBy>
  <dcterms:modified xsi:type="dcterms:W3CDTF">2022-02-17T15:23:00Z</dcterms:modified>
  <revision>3</revision>
  <dc:title>38caa470-a05a-473e-8c45-523be8d2b4f0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